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附件3：</w:t>
      </w:r>
    </w:p>
    <w:p>
      <w:pPr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2024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-</w:t>
      </w:r>
      <w:r>
        <w:rPr>
          <w:rFonts w:eastAsia="方正小标宋简体"/>
          <w:sz w:val="36"/>
          <w:szCs w:val="36"/>
        </w:rPr>
        <w:t>2025年度中国教育发展基金会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-</w:t>
      </w:r>
      <w:r>
        <w:rPr>
          <w:rFonts w:eastAsia="方正小标宋简体"/>
          <w:sz w:val="36"/>
          <w:szCs w:val="36"/>
        </w:rPr>
        <w:t>戴尔</w:t>
      </w:r>
    </w:p>
    <w:tbl>
      <w:tblPr>
        <w:tblStyle w:val="3"/>
        <w:tblpPr w:leftFromText="180" w:rightFromText="180" w:vertAnchor="text" w:horzAnchor="page" w:tblpX="1931" w:tblpY="10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100"/>
        <w:gridCol w:w="10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bCs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bCs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bCs/>
                <w:color w:val="000000"/>
                <w:kern w:val="0"/>
                <w:szCs w:val="21"/>
                <w:lang w:bidi="ar"/>
              </w:rPr>
              <w:t>指标描述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  <w:t>目标完成</w:t>
            </w:r>
          </w:p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  <w:t>（30分）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目标成果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(20分)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1.项目目标明确，至少完成某一方面项目任务，并达到预期目标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2.产出成果与任务目标高度相关，成果质量高，具有实际应用价值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组织实施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(10分)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1.有明确的项目负责人与组织架构，项目管理团队能够有效推动项目实施，指导团队对项目实施提供有力支持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  <w:t>实施情况</w:t>
            </w:r>
          </w:p>
          <w:p>
            <w:pPr>
              <w:widowControl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  <w:t>（30分）</w:t>
            </w:r>
          </w:p>
          <w:p>
            <w:pPr>
              <w:widowControl/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均衡发展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(20分)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1.教师在实践活动中形成正确的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做中学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”“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创中学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教学理念，专业知识得到拓展与深化，教师的活动组织与实践创新能力得到提升，有效指导学生开展科创实践活动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2.学生通过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做中学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”“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创中学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获取相关知识，创新意识与实践能力得到提升；产生的学生作品具有创新性与实用性，反映学生的学习成果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项目辐射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(10分)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1.项目在学校或当地产生良好的影响或社会效应，案例成果被公开展示与广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泛应用，科创空间、课程资源等通过多种途径共享，具有引领作用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  <w:t>特色创新</w:t>
            </w:r>
          </w:p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  <w:t>（30分）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特色创新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1.创新融合科学、信息科技、劳动等课程内容，形成独特的科创教育模式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2.在空间建设、资源开发、教与学模式等方面有明显创新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推荐价值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1.成果具有较高的推荐价值，能够为其他学校或区域提供借鉴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6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val="en-US" w:eastAsia="zh-CN" w:bidi="ar"/>
              </w:rPr>
              <w:t>格式规范</w:t>
            </w:r>
          </w:p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val="en-US" w:eastAsia="zh-CN" w:bidi="ar"/>
              </w:rPr>
              <w:t>10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00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10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1.材料标题明确，正文清晰，格式整洁规范，结构逻辑清晰，能准确表达材料内容，无政治性、科学性错误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2.材料内容完整，支撑材料丰富，能正确反映案例的实施理念、计划与过程，能充分证明案例实际效果与影响力</w:t>
            </w:r>
          </w:p>
        </w:tc>
      </w:tr>
    </w:tbl>
    <w:p>
      <w:pPr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“</w:t>
      </w:r>
      <w:r>
        <w:rPr>
          <w:rFonts w:eastAsia="方正小标宋简体"/>
          <w:sz w:val="36"/>
          <w:szCs w:val="36"/>
        </w:rPr>
        <w:t>互联创未来</w:t>
      </w:r>
      <w:r>
        <w:rPr>
          <w:rFonts w:hint="eastAsia" w:eastAsia="方正小标宋简体"/>
          <w:sz w:val="36"/>
          <w:szCs w:val="36"/>
          <w:lang w:eastAsia="zh-CN"/>
        </w:rPr>
        <w:t>”</w:t>
      </w:r>
      <w:r>
        <w:rPr>
          <w:rFonts w:hint="eastAsia" w:eastAsia="方正小标宋简体"/>
          <w:sz w:val="36"/>
          <w:szCs w:val="36"/>
        </w:rPr>
        <w:t>项目验收参考指标</w:t>
      </w:r>
      <w:bookmarkStart w:id="0" w:name="_GoBack"/>
      <w:bookmarkEnd w:id="0"/>
    </w:p>
    <w:p>
      <w:pPr>
        <w:spacing w:line="480" w:lineRule="exact"/>
        <w:jc w:val="center"/>
        <w:rPr>
          <w:rFonts w:hint="eastAsia" w:eastAsia="方正小标宋简体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480" w:lineRule="exact"/>
        <w:rPr>
          <w:rFonts w:hint="eastAsia" w:eastAsia="仿宋_GB2312"/>
          <w:sz w:val="32"/>
          <w:szCs w:val="32"/>
        </w:rPr>
      </w:pPr>
    </w:p>
    <w:p>
      <w:pPr>
        <w:spacing w:line="48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三类案例推荐参考指标与观测点</w:t>
      </w:r>
    </w:p>
    <w:p>
      <w:pPr>
        <w:spacing w:line="48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2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09"/>
        <w:gridCol w:w="6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楷体_GB2312" w:hAnsi="宋体" w:eastAsia="楷体_GB2312" w:cs="宋体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1"/>
                <w:lang w:val="en-US" w:eastAsia="zh-CN"/>
              </w:rPr>
              <w:t>案例类别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  <w:t>主要观测点</w:t>
            </w:r>
          </w:p>
        </w:tc>
        <w:tc>
          <w:tcPr>
            <w:tcW w:w="617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  <w:t>观测点内涵说明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1"/>
              </w:rPr>
              <w:t>空间应用类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规划建设</w:t>
            </w:r>
          </w:p>
        </w:tc>
        <w:tc>
          <w:tcPr>
            <w:tcW w:w="6171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场地选择与空间布局、环境布置合理，符合安全的要求，方便师生进行自主合作学习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与实践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空间硬软件配置合理，提供丰富的学习资源，满足不同层次师生的自主学习与创新实践需求。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空间拥有整体建设与规划方案，具有相匹配的运行机制与规章制度，并附有空间使用记录表等台账。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应用成效</w:t>
            </w:r>
          </w:p>
        </w:tc>
        <w:tc>
          <w:tcPr>
            <w:tcW w:w="6171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空间开展多类型、多层级的课程或项目学习活动，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体现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做中学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”“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创中学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教学理念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实现多学科与跨学科融合，定期或不定期举办多种多样的创新实践活动，营造开放、创新的文化氛围，激励师生积极探索、实践操作与分享创意成果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激发师生的创新实践热情。</w:t>
            </w:r>
          </w:p>
          <w:p>
            <w:pPr>
              <w:numPr>
                <w:ilvl w:val="0"/>
                <w:numId w:val="2"/>
              </w:num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教师乐于参与空间活动，学生积极进入空间开展学习或创新实践活动，学生作品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体现学生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空间应用成果。</w:t>
            </w:r>
          </w:p>
          <w:p>
            <w:pPr>
              <w:numPr>
                <w:ilvl w:val="0"/>
                <w:numId w:val="2"/>
              </w:num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建立多元与个性化的评价机制，注重过程性评价，注重记录学生的学习过程与展示学习与创新成果，为学生提供持续的反馈与改进机会。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持续发展</w:t>
            </w:r>
          </w:p>
        </w:tc>
        <w:tc>
          <w:tcPr>
            <w:tcW w:w="617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．定期收集反馈并根据反馈调整空间的运行策略，促进空间的可持续发展。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与政府、企业、高校等多方协同探索与合作，为空间建设与发展注入更多活力。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1"/>
              </w:rPr>
              <w:t>资源开发类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资源内容</w:t>
            </w:r>
          </w:p>
        </w:tc>
        <w:tc>
          <w:tcPr>
            <w:tcW w:w="6171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资源选题符合科创教育需求，教学目标明确，与课程标准与学生实际需求相符；内容符合科学原理，数据准确，逻辑清晰，且不存在版权纠纷。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资源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设计具有创新性，能够提供新的视角或方法，能够激发学生的学习兴趣、参与度，促进学生思考与探索。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资源的组织结构清晰，系统性、逻辑性强，便于用户理解与使用，支持且便于学生自主、探究或合作学习。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资源合理运用多种媒体形式（如文本、图像、音频、视频等），运行稳定，无故障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能够兼容主流浏览器与操作系统，支持多种设备与平台使用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表现力强。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教师与学生愿意主动使用资源，资源的使用频率较高。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建设机制</w:t>
            </w:r>
          </w:p>
        </w:tc>
        <w:tc>
          <w:tcPr>
            <w:tcW w:w="6171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资源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拥有合理的建设方案与流程，符合自身条件以及需求，并提供一定的经费保障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配置高效的资源建设团队，并能定期吸纳新成员进入团队建设资源，为资源提供组织保障。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结果呈现</w:t>
            </w:r>
          </w:p>
        </w:tc>
        <w:tc>
          <w:tcPr>
            <w:tcW w:w="6171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资源使用体验良好，体现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做中学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”“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创中学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教学理念，有利于教学目标的实现，有利于提高教与学的效率。</w:t>
            </w:r>
          </w:p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资源文档完整，且资源易于分享与传播，支持开放获取与再利用。</w:t>
            </w:r>
          </w:p>
        </w:tc>
      </w:tr>
    </w:tbl>
    <w:p/>
    <w:p/>
    <w:tbl>
      <w:tblPr>
        <w:tblStyle w:val="2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09"/>
        <w:gridCol w:w="6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1"/>
              </w:rPr>
              <w:t>教与学模式创新类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活动主题</w:t>
            </w:r>
          </w:p>
        </w:tc>
        <w:tc>
          <w:tcPr>
            <w:tcW w:w="6171" w:type="dxa"/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主题围绕可持续发展，来源于学校与学生生活实际，充分运用已有的教育资源与社会资源开展科创实践。</w:t>
            </w:r>
          </w:p>
          <w:p>
            <w:pPr>
              <w:numPr>
                <w:ilvl w:val="0"/>
                <w:numId w:val="6"/>
              </w:num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适合采用项目式学习方式开展跨学科教学活动，符合学生的认知水平。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教学组织</w:t>
            </w:r>
          </w:p>
        </w:tc>
        <w:tc>
          <w:tcPr>
            <w:tcW w:w="6171" w:type="dxa"/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项目计划中有明确合理的目标、问题、策略、活动过程以及评价设计等，主要任务安排合理并与项目主题密切相关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进程安排切实可行。</w:t>
            </w:r>
          </w:p>
          <w:p>
            <w:pPr>
              <w:numPr>
                <w:ilvl w:val="0"/>
                <w:numId w:val="7"/>
              </w:num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案例过程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体现教师之间、学生之间合作分工明确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学习活动形式丰富，校内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校外，线上、线下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相结合，采用多种形式或途径交流展示，有效推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进科创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实践项目的开展。</w:t>
            </w:r>
          </w:p>
          <w:p>
            <w:pPr>
              <w:numPr>
                <w:ilvl w:val="0"/>
                <w:numId w:val="7"/>
              </w:num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案例过程展示教师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做中学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创中学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教学理念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反映教师对科创实践的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理解，并在激发学生创造兴趣、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学习、合作分享等方面有实际成效。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成果体现</w:t>
            </w:r>
          </w:p>
        </w:tc>
        <w:tc>
          <w:tcPr>
            <w:tcW w:w="6171" w:type="dxa"/>
            <w:noWrap w:val="0"/>
            <w:vAlign w:val="center"/>
          </w:tcPr>
          <w:p>
            <w:pPr>
              <w:numPr>
                <w:ilvl w:val="0"/>
                <w:numId w:val="8"/>
              </w:num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案例成果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展示学生在技术与工程核心知识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实践、方法与思维学习训练以及创新创作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中的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过程与典型细节，反映学生通过案例学会运用技术开展学习、探究，合作完成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科创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实践作品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8"/>
              </w:num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通过案例形成的学生作品功能完备，符合设计要求，具有创新性、艺术性、实用性等；学生作品制作过程科学严谨，技术运用合理，制作过程中工具和相关器材使用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科学且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规范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</w:tc>
      </w:tr>
    </w:tbl>
    <w:p>
      <w:pPr>
        <w:spacing w:line="440" w:lineRule="exact"/>
        <w:rPr>
          <w:rFonts w:hint="eastAsia" w:eastAsia="楷体_GB2312"/>
          <w:b/>
          <w:bCs/>
          <w:sz w:val="24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CF0A4FA-B530-4B8F-9A56-4A8FE0D0FC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577B97-4C26-4274-A820-B6FE97CFD5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ACDDDD-6D5C-4FA8-AB6B-22E975D2083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406CAB-5FDC-4132-8D73-10723BE290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53232"/>
    <w:multiLevelType w:val="singleLevel"/>
    <w:tmpl w:val="D8F532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BB8A78"/>
    <w:multiLevelType w:val="singleLevel"/>
    <w:tmpl w:val="20BB8A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250AF46"/>
    <w:multiLevelType w:val="singleLevel"/>
    <w:tmpl w:val="2250A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4C8E0A5"/>
    <w:multiLevelType w:val="singleLevel"/>
    <w:tmpl w:val="24C8E0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7E79818"/>
    <w:multiLevelType w:val="singleLevel"/>
    <w:tmpl w:val="27E798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DB550F0"/>
    <w:multiLevelType w:val="singleLevel"/>
    <w:tmpl w:val="2DB550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6CB6B95"/>
    <w:multiLevelType w:val="singleLevel"/>
    <w:tmpl w:val="66CB6B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7A7D621"/>
    <w:multiLevelType w:val="singleLevel"/>
    <w:tmpl w:val="77A7D6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ZjQxMWViYTg5OGMzY2FhMjBlOWQ0ZTk3MjE2YWYifQ=="/>
  </w:docVars>
  <w:rsids>
    <w:rsidRoot w:val="100D18E1"/>
    <w:rsid w:val="100D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2025-04-01T07:13:00Z</dcterms:created>
  <dc:creator>冬冬</dc:creator>
  <cp:lastModifiedBy>冬冬</cp:lastModifiedBy>
  <dcterms:modified xsi:type="dcterms:W3CDTF">2025-04-01T07:13:37Z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F67C8B41617244CC834B762B075358EA_11</vt:lpwstr>
  </property>
</Properties>
</file>